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B3" w:rsidRPr="00674B6C" w:rsidRDefault="00F768B3" w:rsidP="00F768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  <w:lang w:eastAsia="ru-RU"/>
        </w:rPr>
      </w:pPr>
      <w:r w:rsidRPr="00674B6C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  <w:lang w:eastAsia="ru-RU"/>
        </w:rPr>
        <w:t>Источник о</w:t>
      </w:r>
      <w:r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  <w:lang w:eastAsia="ru-RU"/>
        </w:rPr>
        <w:t xml:space="preserve">фициального опубликования </w:t>
      </w:r>
      <w:r w:rsidRPr="00F768B3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  <w:lang w:eastAsia="ru-RU"/>
        </w:rPr>
        <w:t>http://xn--80aqxgn.xn--73-vlciicfbib5n.xn--p1ai/law/4513.html</w:t>
      </w:r>
      <w:bookmarkStart w:id="0" w:name="_GoBack"/>
      <w:bookmarkEnd w:id="0"/>
    </w:p>
    <w:p w:rsidR="00F768B3" w:rsidRDefault="00F768B3" w:rsidP="00732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</w:pPr>
    </w:p>
    <w:p w:rsidR="00F768B3" w:rsidRDefault="00F768B3" w:rsidP="00732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</w:pPr>
    </w:p>
    <w:p w:rsidR="0073202B" w:rsidRPr="0073202B" w:rsidRDefault="0073202B" w:rsidP="007320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>МИНИСТЕРСТВО ЭКОНОМИЧЕСКОГО РАЗВИТИЯ</w:t>
      </w:r>
    </w:p>
    <w:p w:rsidR="0073202B" w:rsidRPr="0073202B" w:rsidRDefault="0073202B" w:rsidP="007320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>УЛЬЯНОВСКОЙ ОБЛАСТИ</w:t>
      </w:r>
    </w:p>
    <w:p w:rsidR="0073202B" w:rsidRPr="0073202B" w:rsidRDefault="0073202B" w:rsidP="007320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> </w:t>
      </w:r>
    </w:p>
    <w:p w:rsidR="0073202B" w:rsidRPr="0073202B" w:rsidRDefault="0073202B" w:rsidP="007320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>П Р И К А З  </w:t>
      </w:r>
    </w:p>
    <w:p w:rsidR="0073202B" w:rsidRPr="0073202B" w:rsidRDefault="0073202B" w:rsidP="007320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> </w:t>
      </w:r>
    </w:p>
    <w:p w:rsidR="0073202B" w:rsidRPr="0073202B" w:rsidRDefault="0073202B" w:rsidP="00732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22 декабря 2014 г.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73202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№ 06-914</w:t>
      </w:r>
    </w:p>
    <w:p w:rsidR="0073202B" w:rsidRPr="0073202B" w:rsidRDefault="0073202B" w:rsidP="007320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> 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right="-1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г. Ульяновск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right="98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 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right="98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 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right="98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Об утверждении стандартизированных ставок, ставок за единицу</w:t>
      </w:r>
    </w:p>
    <w:p w:rsidR="0073202B" w:rsidRPr="0073202B" w:rsidRDefault="0073202B" w:rsidP="0073202B">
      <w:pPr>
        <w:shd w:val="clear" w:color="auto" w:fill="FFFFFF"/>
        <w:spacing w:after="0" w:line="240" w:lineRule="auto"/>
        <w:ind w:right="96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максимальной мощности, формул платы за технологическое присоединение</w:t>
      </w:r>
    </w:p>
    <w:p w:rsidR="0073202B" w:rsidRPr="0073202B" w:rsidRDefault="0073202B" w:rsidP="0073202B">
      <w:pPr>
        <w:shd w:val="clear" w:color="auto" w:fill="FFFFFF"/>
        <w:spacing w:after="0" w:line="240" w:lineRule="auto"/>
        <w:ind w:right="96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к электрическим сетям Общества с ограниченной ответственностью</w:t>
      </w:r>
    </w:p>
    <w:p w:rsidR="0073202B" w:rsidRPr="0073202B" w:rsidRDefault="0073202B" w:rsidP="0073202B">
      <w:pPr>
        <w:shd w:val="clear" w:color="auto" w:fill="FFFFFF"/>
        <w:spacing w:after="0" w:line="240" w:lineRule="auto"/>
        <w:ind w:right="96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«Объединённые электрические сети» на 2015 год</w:t>
      </w:r>
    </w:p>
    <w:p w:rsidR="0073202B" w:rsidRPr="0073202B" w:rsidRDefault="0073202B" w:rsidP="0073202B">
      <w:pPr>
        <w:shd w:val="clear" w:color="auto" w:fill="FFFFFF"/>
        <w:spacing w:after="0" w:line="240" w:lineRule="auto"/>
        <w:ind w:right="96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 </w:t>
      </w:r>
    </w:p>
    <w:p w:rsidR="0073202B" w:rsidRPr="0073202B" w:rsidRDefault="0073202B" w:rsidP="0073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постановлением Правительства Российской Федерации от 27.12.2004                                        № 861 </w:t>
      </w:r>
      <w:r w:rsidRPr="0073202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, приказом Федеральной службы по тарифам от 11.09.2012 № 209-э/1 «Об утверждении Методических указаний по определению размера платы за технологическое присоединение к электрическим сетям», </w:t>
      </w:r>
      <w:r w:rsidRPr="0073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Положения о Министерстве экономического развития Ульяновской области, утверждённого постановлением Правительства Ульяновской области от 14.04.2014 № 8/125-П «О Министерстве экономического развития Ульяновской области», п р и к а з ы в а ю: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1. Утвердить на период </w:t>
      </w:r>
      <w:r w:rsidRPr="0073202B">
        <w:rPr>
          <w:rFonts w:ascii="Times New Roman" w:eastAsia="Times New Roman" w:hAnsi="Times New Roman" w:cs="Times New Roman"/>
          <w:color w:val="1A1818"/>
          <w:spacing w:val="-6"/>
          <w:sz w:val="24"/>
          <w:szCs w:val="24"/>
          <w:lang w:eastAsia="ru-RU"/>
        </w:rPr>
        <w:t>с 01 января 2015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года по 31 декабря 2015 года:</w:t>
      </w:r>
    </w:p>
    <w:p w:rsidR="0073202B" w:rsidRPr="0073202B" w:rsidRDefault="0073202B" w:rsidP="0073202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1) стандартизированные тарифные ставки для определения платы за технологическое присоединение энергопринимающих устройств </w:t>
      </w:r>
      <w:r w:rsidRPr="0073202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потребителей электрической энергии, объектов электросетевого хозяйства, принадлежащих сетевым организациям и иным лицам, 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 электрическим сетям Общества с ограниченной ответственностью «Объединённые электрические сети» (приложение № 1);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>2) ставки за единицу максимальной мощности для определения платы за технологическое присоединение энергопринимающих устройств </w:t>
      </w:r>
      <w:r w:rsidRPr="0073202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потребителей электрической энергии, объектов электросетевого хозяйства, принадлежащих сетевым организациям и иным лицам,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 к электрическим </w:t>
      </w:r>
      <w:proofErr w:type="gramStart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сетям  Общества</w:t>
      </w:r>
      <w:proofErr w:type="gramEnd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с ограниченной ответственностью «Объединённые электрические сети» на уровне напряжения ниже 35 </w:t>
      </w:r>
      <w:proofErr w:type="spellStart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кВ</w:t>
      </w:r>
      <w:proofErr w:type="spellEnd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и максимальной мощности менее 8 900 кВт  (приложение № 2);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3) формулы платы за технологическое присоединение энергопринимающих </w:t>
      </w:r>
      <w:proofErr w:type="spellStart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устройств</w:t>
      </w:r>
      <w:r w:rsidRPr="0073202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потребителей</w:t>
      </w:r>
      <w:proofErr w:type="spellEnd"/>
      <w:r w:rsidRPr="0073202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электрической энергии, объектов электросетевого хозяйства, принадлежащих сетевым организациям и иным лицам,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к электрическим сетям Общества с ограниченной ответственностью «Объединённые электрические сети» (приложение № 3).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firstLine="720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2. Установить, что размеры платы за технологическое присоединение энергопринимающих устройств </w:t>
      </w:r>
      <w:r w:rsidRPr="0073202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потребителей электрической энергии, объектов электросетевого хозяйства, принадлежащих сетевым организациям и иным лицам,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к электрическим сетям (далее – технологическое присоединение энергопринимающих устройств) определяются:</w:t>
      </w:r>
    </w:p>
    <w:p w:rsidR="0073202B" w:rsidRPr="0073202B" w:rsidRDefault="0073202B" w:rsidP="0073202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2.1. Для заявителя, подавшего заявку в целях технологического присоединения энергопринимающих устройств максимальной мощностью, не превышающей 15 кВт включительно (с учётом ранее присоединённой в данной точке присоединения мощности), при присоединении объектов, отнесённых к третьей категории надёжности (по одному источнику электроснабжения) при условии, </w:t>
      </w:r>
      <w:r w:rsidRPr="0073202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что расстояние от границ участка заявителя до объектов электросетевого хозяйства на уровне напряжения до 20 </w:t>
      </w:r>
      <w:proofErr w:type="spellStart"/>
      <w:r w:rsidRPr="0073202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кВ</w:t>
      </w:r>
      <w:proofErr w:type="spellEnd"/>
      <w:r w:rsidRPr="0073202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включительно необходимого заявителю класса напряжения сетевой организации, в которую подана заявка, составляет не более 300 метров в городах и посёлках городского типа и не более 500 </w:t>
      </w:r>
      <w:proofErr w:type="spellStart"/>
      <w:r w:rsidRPr="0073202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метровв</w:t>
      </w:r>
      <w:proofErr w:type="spellEnd"/>
      <w:r w:rsidRPr="0073202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сельской местности – в размере 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550 рублей (с учётом НДС).</w:t>
      </w:r>
    </w:p>
    <w:p w:rsidR="0073202B" w:rsidRPr="0073202B" w:rsidRDefault="0073202B" w:rsidP="0073202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 В границах муниципальных районов, городских округов одно и то же лицо может осуществить технологическое присоединение энергопринимающих устройств, принадлежащих ему на праве собственности или на ином законном основании, соответствующих критериям, указанным выше, с платой за технологическое присоединение – в размере, не превышающем 550 рублей 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(с учётом НДС)</w:t>
      </w:r>
      <w:r w:rsidRPr="0073202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, не более одного раза в течение 3 лет.</w:t>
      </w:r>
    </w:p>
    <w:p w:rsidR="0073202B" w:rsidRPr="0073202B" w:rsidRDefault="0073202B" w:rsidP="0073202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2.2. В отношении садоводческих, огороднических, дачных некоммерческих объединений и иных некоммерческих объединений (гаражно-строительных, гаражных кооперативов) –  в размере 550 рублей 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(с учётом НДС)</w:t>
      </w:r>
      <w:r w:rsidRPr="0073202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, умноженных на количество членов этих объединений, при условии присоединения каждым членом такого объединения не более 15 кВт по третьей категории надёжности (по одному источнику электроснабжения) с учётом ранее присоединённых в данной точке присоединения энергопринимающих устройств при присоединении к электрическим сетям сетевой организации на уровне напряжения до 20 </w:t>
      </w:r>
      <w:proofErr w:type="spellStart"/>
      <w:r w:rsidRPr="0073202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кВ</w:t>
      </w:r>
      <w:proofErr w:type="spellEnd"/>
      <w:r w:rsidRPr="0073202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включительно и нахождения энергопринимающих устройств указанных объединений на расстоянии не более 300 метров в городах и посёлках городского типа и не более 500 метров в сельской местности до существующих объектов электросетевого хозяйства сетевых организаций.</w:t>
      </w:r>
    </w:p>
    <w:p w:rsidR="0073202B" w:rsidRPr="0073202B" w:rsidRDefault="0073202B" w:rsidP="0073202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2.3. В отношении граждан, объединивших свои гаражи и хозяйственные постройки (погреба, сараи) – в размере 550 рублей 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(с учётом НДС),</w:t>
      </w:r>
      <w:r w:rsidRPr="0073202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 при условии присоединения каждым собственником этих построек не более 15 кВт по третьей категории надёжности (по одному источнику электроснабжения) с учётом ранее присоединённых в данной точке присоединения энергопринимающих устройств при присоединении к электрическим сетям сетевой организации на уровне напряжения до 20 </w:t>
      </w:r>
      <w:proofErr w:type="spellStart"/>
      <w:r w:rsidRPr="0073202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кВ</w:t>
      </w:r>
      <w:proofErr w:type="spellEnd"/>
      <w:r w:rsidRPr="0073202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включительно и нахождения энергопринимающих устройств указанных объединённых построек на расстоянии не более 300 метров в городах и посёлках городского типа и не более 500 метров в сельской местности до существующих объектов электросетевого хозяйства сетевых организаций.</w:t>
      </w:r>
    </w:p>
    <w:p w:rsidR="0073202B" w:rsidRPr="0073202B" w:rsidRDefault="0073202B" w:rsidP="0073202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lastRenderedPageBreak/>
        <w:t>2.4. За технологическое присоединение энергопринимающих устройств религиозных организаций – в размере 550 рублей 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(с учётом НДС), </w:t>
      </w:r>
      <w:r w:rsidRPr="0073202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при условии присоединения не более 15 кВт по третьей категории надёжности (по одному источнику электроснабжения) с учётом ранее присоединённых в данной точке присоединения энергопринимающих устройств при присоединении к электрическим сетям сетевой организации на уровне напряжения до 20 </w:t>
      </w:r>
      <w:proofErr w:type="spellStart"/>
      <w:r w:rsidRPr="0073202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кВ</w:t>
      </w:r>
      <w:proofErr w:type="spellEnd"/>
      <w:r w:rsidRPr="0073202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включительно и нахождения энергопринимающих устройств таких организаций на расстоянии не более 300 метров в городах и посёлках городского типа и не более 500 метров в сельской местности до существующих объектов электросетевого хозяйства сетевых организаций.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3. 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Размер экономически обоснованной платы за технологическое присоединение энергопринимающих устройств максимальной мощностью, не превышающей 15 кВт включительно (с учётом ранее присоединённой в данной точке присоединения мощно</w:t>
      </w:r>
      <w:r w:rsidRPr="0073202B">
        <w:rPr>
          <w:rFonts w:ascii="Times New Roman" w:eastAsia="Times New Roman" w:hAnsi="Times New Roman" w:cs="Times New Roman"/>
          <w:color w:val="1A1818"/>
          <w:spacing w:val="-6"/>
          <w:sz w:val="24"/>
          <w:szCs w:val="24"/>
          <w:lang w:eastAsia="ru-RU"/>
        </w:rPr>
        <w:t>сти) без инвестиционной составляющей: </w:t>
      </w:r>
      <w:r w:rsidRPr="0073202B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180,84 </w:t>
      </w:r>
      <w:r w:rsidRPr="0073202B">
        <w:rPr>
          <w:rFonts w:ascii="Times New Roman" w:eastAsia="Times New Roman" w:hAnsi="Times New Roman" w:cs="Times New Roman"/>
          <w:color w:val="1A1818"/>
          <w:spacing w:val="-6"/>
          <w:sz w:val="24"/>
          <w:szCs w:val="24"/>
          <w:lang w:eastAsia="ru-RU"/>
        </w:rPr>
        <w:t>руб./кВт.</w:t>
      </w:r>
    </w:p>
    <w:p w:rsidR="0073202B" w:rsidRPr="0073202B" w:rsidRDefault="0073202B" w:rsidP="007320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Выпадающие доходы от осуществления технологического присоединения энергопринимающих устройств максимальной мощностью, не превышающей 15 кВт включительно: отсутствуют</w:t>
      </w:r>
      <w:r w:rsidRPr="0073202B">
        <w:rPr>
          <w:rFonts w:ascii="Times New Roman" w:eastAsia="Times New Roman" w:hAnsi="Times New Roman" w:cs="Times New Roman"/>
          <w:color w:val="1A1818"/>
          <w:spacing w:val="-6"/>
          <w:sz w:val="24"/>
          <w:szCs w:val="24"/>
          <w:lang w:eastAsia="ru-RU"/>
        </w:rPr>
        <w:t>.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 Выпадающие доходы от выплаты процентов по кредитным договорам, связанным с рассрочкой по оплате субъектами малого и среднего предпринимательства технологического присоединения энергопринимающих устройств максимальной мощностью свыше 15 кВт и до 150 кВт </w:t>
      </w:r>
      <w:proofErr w:type="spellStart"/>
      <w:proofErr w:type="gramStart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включительно:</w:t>
      </w:r>
      <w:r w:rsidRPr="0073202B">
        <w:rPr>
          <w:rFonts w:ascii="Times New Roman" w:eastAsia="Times New Roman" w:hAnsi="Times New Roman" w:cs="Times New Roman"/>
          <w:color w:val="1A1818"/>
          <w:spacing w:val="-6"/>
          <w:sz w:val="24"/>
          <w:szCs w:val="24"/>
          <w:lang w:eastAsia="ru-RU"/>
        </w:rPr>
        <w:t>отсутствуют</w:t>
      </w:r>
      <w:proofErr w:type="spellEnd"/>
      <w:proofErr w:type="gramEnd"/>
      <w:r w:rsidRPr="0073202B">
        <w:rPr>
          <w:rFonts w:ascii="Times New Roman" w:eastAsia="Times New Roman" w:hAnsi="Times New Roman" w:cs="Times New Roman"/>
          <w:color w:val="1A1818"/>
          <w:spacing w:val="-6"/>
          <w:sz w:val="24"/>
          <w:szCs w:val="24"/>
          <w:lang w:eastAsia="ru-RU"/>
        </w:rPr>
        <w:t>.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Министр                                                                                                                  О.В.Асмус</w:t>
      </w:r>
    </w:p>
    <w:p w:rsidR="0073202B" w:rsidRPr="0073202B" w:rsidRDefault="0073202B" w:rsidP="00732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br/>
      </w:r>
    </w:p>
    <w:p w:rsidR="0073202B" w:rsidRDefault="0073202B" w:rsidP="0073202B">
      <w:pPr>
        <w:shd w:val="clear" w:color="auto" w:fill="FFFFFF"/>
        <w:spacing w:after="0" w:line="171" w:lineRule="atLeast"/>
        <w:ind w:left="900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3202B" w:rsidRDefault="0073202B" w:rsidP="0073202B">
      <w:pPr>
        <w:shd w:val="clear" w:color="auto" w:fill="FFFFFF"/>
        <w:spacing w:after="0" w:line="171" w:lineRule="atLeast"/>
        <w:ind w:left="900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3202B" w:rsidRDefault="0073202B" w:rsidP="0073202B">
      <w:pPr>
        <w:shd w:val="clear" w:color="auto" w:fill="FFFFFF"/>
        <w:spacing w:after="0" w:line="171" w:lineRule="atLeast"/>
        <w:ind w:left="900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3202B" w:rsidRDefault="0073202B" w:rsidP="0073202B">
      <w:pPr>
        <w:shd w:val="clear" w:color="auto" w:fill="FFFFFF"/>
        <w:spacing w:after="0" w:line="171" w:lineRule="atLeast"/>
        <w:ind w:left="900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3202B" w:rsidRDefault="0073202B" w:rsidP="0073202B">
      <w:pPr>
        <w:shd w:val="clear" w:color="auto" w:fill="FFFFFF"/>
        <w:spacing w:after="0" w:line="171" w:lineRule="atLeast"/>
        <w:ind w:left="900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3202B" w:rsidRDefault="0073202B" w:rsidP="0073202B">
      <w:pPr>
        <w:shd w:val="clear" w:color="auto" w:fill="FFFFFF"/>
        <w:spacing w:after="0" w:line="171" w:lineRule="atLeast"/>
        <w:ind w:left="900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3202B" w:rsidRDefault="0073202B" w:rsidP="0073202B">
      <w:pPr>
        <w:shd w:val="clear" w:color="auto" w:fill="FFFFFF"/>
        <w:spacing w:after="0" w:line="171" w:lineRule="atLeast"/>
        <w:ind w:left="900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3202B" w:rsidRDefault="0073202B" w:rsidP="0073202B">
      <w:pPr>
        <w:shd w:val="clear" w:color="auto" w:fill="FFFFFF"/>
        <w:spacing w:after="0" w:line="171" w:lineRule="atLeast"/>
        <w:ind w:left="900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3202B" w:rsidRDefault="0073202B" w:rsidP="0073202B">
      <w:pPr>
        <w:shd w:val="clear" w:color="auto" w:fill="FFFFFF"/>
        <w:spacing w:after="0" w:line="171" w:lineRule="atLeast"/>
        <w:ind w:left="900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3202B" w:rsidRDefault="0073202B" w:rsidP="0073202B">
      <w:pPr>
        <w:shd w:val="clear" w:color="auto" w:fill="FFFFFF"/>
        <w:spacing w:after="0" w:line="171" w:lineRule="atLeast"/>
        <w:ind w:left="900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3202B" w:rsidRDefault="0073202B" w:rsidP="0073202B">
      <w:pPr>
        <w:shd w:val="clear" w:color="auto" w:fill="FFFFFF"/>
        <w:spacing w:after="0" w:line="171" w:lineRule="atLeast"/>
        <w:ind w:left="900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3202B" w:rsidRDefault="0073202B" w:rsidP="0073202B">
      <w:pPr>
        <w:shd w:val="clear" w:color="auto" w:fill="FFFFFF"/>
        <w:spacing w:after="0" w:line="171" w:lineRule="atLeast"/>
        <w:ind w:left="900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3202B" w:rsidRDefault="0073202B" w:rsidP="0073202B">
      <w:pPr>
        <w:shd w:val="clear" w:color="auto" w:fill="FFFFFF"/>
        <w:spacing w:after="0" w:line="171" w:lineRule="atLeast"/>
        <w:ind w:left="900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3202B" w:rsidRDefault="0073202B" w:rsidP="0073202B">
      <w:pPr>
        <w:shd w:val="clear" w:color="auto" w:fill="FFFFFF"/>
        <w:spacing w:after="0" w:line="171" w:lineRule="atLeast"/>
        <w:ind w:left="900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3202B" w:rsidRDefault="0073202B" w:rsidP="0073202B">
      <w:pPr>
        <w:shd w:val="clear" w:color="auto" w:fill="FFFFFF"/>
        <w:spacing w:after="0" w:line="171" w:lineRule="atLeast"/>
        <w:ind w:left="900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3202B" w:rsidRPr="0073202B" w:rsidRDefault="0073202B" w:rsidP="0073202B">
      <w:pPr>
        <w:shd w:val="clear" w:color="auto" w:fill="FFFFFF"/>
        <w:spacing w:after="0" w:line="171" w:lineRule="atLeast"/>
        <w:ind w:left="900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1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left="900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left="900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 приказу Министерства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left="900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экономического развития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left="900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Ульяновской области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left="900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от 22 декабря 2014 г. № 06-914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jc w:val="right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СТАНДАРТИЗИРОВАННЫЕ ТАРИФНЫЕ СТАВКИ</w:t>
      </w:r>
    </w:p>
    <w:p w:rsidR="0073202B" w:rsidRPr="0073202B" w:rsidRDefault="0073202B" w:rsidP="0073202B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для определения платы за технологическое присоединение</w:t>
      </w:r>
      <w:r w:rsidRPr="0073202B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> энергопринимающих устройств</w:t>
      </w:r>
    </w:p>
    <w:p w:rsidR="0073202B" w:rsidRPr="0073202B" w:rsidRDefault="0073202B" w:rsidP="0073202B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>потребителей электрической энергии, объектов электросетевого хозяйства,</w:t>
      </w:r>
    </w:p>
    <w:p w:rsidR="0073202B" w:rsidRPr="0073202B" w:rsidRDefault="0073202B" w:rsidP="0073202B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>принадлежащих сетевым организациям и иным лицам,</w:t>
      </w:r>
      <w:r w:rsidRPr="0073202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 к электрическим сетям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Общества с ограниченной ответственностью «Объединённые электрические сети»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 </w:t>
      </w:r>
    </w:p>
    <w:tbl>
      <w:tblPr>
        <w:tblStyle w:val="a4"/>
        <w:tblW w:w="12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6626"/>
        <w:gridCol w:w="1431"/>
        <w:gridCol w:w="1421"/>
        <w:gridCol w:w="2319"/>
      </w:tblGrid>
      <w:tr w:rsidR="0073202B" w:rsidRPr="0073202B" w:rsidTr="0073202B">
        <w:trPr>
          <w:trHeight w:val="860"/>
          <w:jc w:val="center"/>
        </w:trPr>
        <w:tc>
          <w:tcPr>
            <w:tcW w:w="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8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Перечень стандартизированных</w:t>
            </w:r>
          </w:p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тарифных ставок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Уровень напряжения</w:t>
            </w:r>
          </w:p>
        </w:tc>
        <w:tc>
          <w:tcPr>
            <w:tcW w:w="3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Стандартизированная</w:t>
            </w:r>
          </w:p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тарифная ставка</w:t>
            </w:r>
          </w:p>
        </w:tc>
      </w:tr>
      <w:tr w:rsidR="0073202B" w:rsidRPr="0073202B" w:rsidTr="0073202B">
        <w:trPr>
          <w:trHeight w:val="3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размер стандартизированной тарифной ставки</w:t>
            </w:r>
          </w:p>
        </w:tc>
      </w:tr>
      <w:tr w:rsidR="0073202B" w:rsidRPr="0073202B" w:rsidTr="0073202B">
        <w:trPr>
          <w:trHeight w:val="26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5</w:t>
            </w:r>
          </w:p>
        </w:tc>
      </w:tr>
      <w:tr w:rsidR="0073202B" w:rsidRPr="0073202B" w:rsidTr="0073202B">
        <w:trPr>
          <w:trHeight w:val="7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vertAlign w:val="subscript"/>
                <w:lang w:eastAsia="ru-RU"/>
              </w:rPr>
              <w:t>1, </w:t>
            </w: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</w:t>
            </w:r>
            <w:r w:rsidR="00F768B3">
              <w:fldChar w:fldCharType="begin"/>
            </w:r>
            <w:r w:rsidR="00F768B3">
              <w:instrText xml:space="preserve">  </w:instrText>
            </w:r>
            <w:r w:rsidR="00F768B3">
              <w:fldChar w:fldCharType="separate"/>
            </w: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> пункте 1</w:t>
            </w:r>
            <w:r w:rsidR="00F768B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fldChar w:fldCharType="end"/>
            </w: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6 Методических указаний по определению размера платы за технологическое присоединение к электрическим сетям, утверждённых приказом ФСТ России от 11.09.2012 № 209-э/1 (кроме подпунктов «б» и «в»)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руб./кВт</w:t>
            </w:r>
          </w:p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(в текущих ценах, без учёта НДС)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180,84</w:t>
            </w:r>
          </w:p>
        </w:tc>
      </w:tr>
      <w:tr w:rsidR="0073202B" w:rsidRPr="0073202B" w:rsidTr="0073202B">
        <w:trPr>
          <w:trHeight w:val="7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proofErr w:type="gramStart"/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vertAlign w:val="subscript"/>
                <w:lang w:eastAsia="ru-RU"/>
              </w:rPr>
              <w:t>1.1,</w:t>
            </w: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proofErr w:type="gram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выдача сетевой организацией технических условий Заявителю (ТУ)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93,47</w:t>
            </w:r>
          </w:p>
        </w:tc>
      </w:tr>
      <w:tr w:rsidR="0073202B" w:rsidRPr="0073202B" w:rsidTr="0073202B">
        <w:trPr>
          <w:trHeight w:val="7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vertAlign w:val="subscript"/>
                <w:lang w:eastAsia="ru-RU"/>
              </w:rPr>
              <w:t>1.2, </w:t>
            </w: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сетевой организацией выполнения Заявителем ТУ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46,90</w:t>
            </w:r>
          </w:p>
        </w:tc>
      </w:tr>
      <w:tr w:rsidR="0073202B" w:rsidRPr="0073202B" w:rsidTr="0073202B">
        <w:trPr>
          <w:trHeight w:val="7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vertAlign w:val="subscript"/>
                <w:lang w:eastAsia="ru-RU"/>
              </w:rPr>
              <w:t>1.3, </w:t>
            </w:r>
            <w:r w:rsidRPr="0073202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1A1818"/>
                <w:spacing w:val="-6"/>
                <w:sz w:val="24"/>
                <w:szCs w:val="24"/>
                <w:lang w:eastAsia="ru-RU"/>
              </w:rPr>
              <w:t>20,24</w:t>
            </w:r>
          </w:p>
        </w:tc>
      </w:tr>
      <w:tr w:rsidR="0073202B" w:rsidRPr="0073202B" w:rsidTr="0073202B">
        <w:trPr>
          <w:trHeight w:val="7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vertAlign w:val="subscript"/>
                <w:lang w:eastAsia="ru-RU"/>
              </w:rPr>
              <w:t>1.4, </w:t>
            </w:r>
            <w:r w:rsidRPr="0073202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20,23</w:t>
            </w:r>
          </w:p>
        </w:tc>
      </w:tr>
      <w:tr w:rsidR="0073202B" w:rsidRPr="0073202B" w:rsidTr="0073202B">
        <w:trPr>
          <w:trHeight w:val="85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vertAlign w:val="subscript"/>
                <w:lang w:eastAsia="ru-RU"/>
              </w:rPr>
              <w:t>2</w:t>
            </w: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, стандартизированная тарифная ставка на покрытие расходов сетевой организации на строительство воздушных линий электропередачи (ВЛ):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1A1818"/>
                <w:spacing w:val="-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3202B" w:rsidRPr="0073202B" w:rsidTr="0073202B">
        <w:trPr>
          <w:trHeight w:val="15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ВЛИ-0,4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СИП 4-4х35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НН (0,4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кВ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и ниже)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руб./км</w:t>
            </w:r>
          </w:p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(в ценах 2001 года, без учёта НДС)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218 870,00</w:t>
            </w:r>
          </w:p>
        </w:tc>
      </w:tr>
      <w:tr w:rsidR="0073202B" w:rsidRPr="0073202B" w:rsidTr="0073202B">
        <w:trPr>
          <w:trHeight w:val="15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ВЛИ-0,4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СИП 4-4х50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228 300,00</w:t>
            </w:r>
          </w:p>
        </w:tc>
      </w:tr>
      <w:tr w:rsidR="0073202B" w:rsidRPr="0073202B" w:rsidTr="0073202B">
        <w:trPr>
          <w:trHeight w:val="7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ВЛИ-0,4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СИП 4-4х70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240 550,00</w:t>
            </w:r>
          </w:p>
        </w:tc>
      </w:tr>
      <w:tr w:rsidR="0073202B" w:rsidRPr="0073202B" w:rsidTr="0073202B">
        <w:trPr>
          <w:trHeight w:val="7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ВЛИ-0,4 </w:t>
            </w:r>
            <w:proofErr w:type="spellStart"/>
            <w:proofErr w:type="gram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 СИП</w:t>
            </w:r>
            <w:proofErr w:type="gram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4-4х95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252 810,00</w:t>
            </w:r>
          </w:p>
        </w:tc>
      </w:tr>
      <w:tr w:rsidR="0073202B" w:rsidRPr="0073202B" w:rsidTr="0073202B">
        <w:trPr>
          <w:trHeight w:val="7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ВЛЗ-10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СИП 3-1x50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СН2 (20-1кВ)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171 100,00</w:t>
            </w:r>
          </w:p>
        </w:tc>
      </w:tr>
      <w:tr w:rsidR="0073202B" w:rsidRPr="0073202B" w:rsidTr="0073202B">
        <w:trPr>
          <w:trHeight w:val="7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ВЛЗ-10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СИП 3-1х70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182 600,00</w:t>
            </w:r>
          </w:p>
        </w:tc>
      </w:tr>
      <w:tr w:rsidR="0073202B" w:rsidRPr="0073202B" w:rsidTr="0073202B">
        <w:trPr>
          <w:trHeight w:val="707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vertAlign w:val="subscript"/>
                <w:lang w:eastAsia="ru-RU"/>
              </w:rPr>
              <w:t>3</w:t>
            </w: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, стандартизированная тарифная ставка на покрытие расходов сетевой организации на строительство кабельных линий электропередачи (КЛ):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1A1818"/>
                <w:spacing w:val="-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1A1818"/>
                <w:spacing w:val="-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1A1818"/>
                <w:spacing w:val="-6"/>
                <w:sz w:val="24"/>
                <w:szCs w:val="24"/>
                <w:lang w:eastAsia="ru-RU"/>
              </w:rPr>
              <w:t>х</w:t>
            </w:r>
          </w:p>
        </w:tc>
      </w:tr>
      <w:tr w:rsidR="0073202B" w:rsidRPr="0073202B" w:rsidTr="0073202B">
        <w:trPr>
          <w:trHeight w:val="27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КЛ-0,4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 4x120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НН (0,4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кВ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и ниже)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руб./км</w:t>
            </w:r>
          </w:p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(в ценах 2001 года, без учёта НДС)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323 230,00</w:t>
            </w:r>
          </w:p>
        </w:tc>
      </w:tr>
      <w:tr w:rsidR="0073202B" w:rsidRPr="0073202B" w:rsidTr="0073202B">
        <w:trPr>
          <w:trHeight w:val="27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КЛ-0,4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 4x150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377 840,00</w:t>
            </w:r>
          </w:p>
        </w:tc>
      </w:tr>
      <w:tr w:rsidR="0073202B" w:rsidRPr="0073202B" w:rsidTr="0073202B">
        <w:trPr>
          <w:trHeight w:val="27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КЛ-0,4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 4x185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403 790,00</w:t>
            </w:r>
          </w:p>
        </w:tc>
      </w:tr>
      <w:tr w:rsidR="0073202B" w:rsidRPr="0073202B" w:rsidTr="0073202B">
        <w:trPr>
          <w:trHeight w:val="27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КЛ-0,4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 4x240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438 750,00</w:t>
            </w:r>
          </w:p>
        </w:tc>
      </w:tr>
      <w:tr w:rsidR="0073202B" w:rsidRPr="0073202B" w:rsidTr="0073202B">
        <w:trPr>
          <w:trHeight w:val="27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КЛ-10(6)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АСБ-10 3x120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СН2 (20-1кВ)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404 640,00</w:t>
            </w:r>
          </w:p>
        </w:tc>
      </w:tr>
      <w:tr w:rsidR="0073202B" w:rsidRPr="0073202B" w:rsidTr="0073202B">
        <w:trPr>
          <w:trHeight w:val="27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KЛ-10(6)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АСБ-10 3x150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457 380,00</w:t>
            </w:r>
          </w:p>
        </w:tc>
      </w:tr>
      <w:tr w:rsidR="0073202B" w:rsidRPr="0073202B" w:rsidTr="0073202B">
        <w:trPr>
          <w:trHeight w:val="27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КЛ-10(6)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АСБ-10 3x185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513 210,00</w:t>
            </w:r>
          </w:p>
        </w:tc>
      </w:tr>
      <w:tr w:rsidR="0073202B" w:rsidRPr="0073202B" w:rsidTr="0073202B">
        <w:trPr>
          <w:trHeight w:val="27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КЛ-10(6)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АСБ-10 3x240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585 460,00</w:t>
            </w:r>
          </w:p>
        </w:tc>
      </w:tr>
      <w:tr w:rsidR="0073202B" w:rsidRPr="0073202B" w:rsidTr="0073202B">
        <w:trPr>
          <w:trHeight w:val="22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vertAlign w:val="subscript"/>
                <w:lang w:eastAsia="ru-RU"/>
              </w:rPr>
              <w:t>4</w:t>
            </w: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, стандартизированная тарифная ставка на покрытие расходов сетевой организации на строительство комплектных </w:t>
            </w: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 xml:space="preserve">трансформаторных подстанций (КТП), распределительных трансформаторных подстанций (РТП) с классом напряжения до 35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кВ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lastRenderedPageBreak/>
              <w:t>х</w:t>
            </w:r>
          </w:p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1A1818"/>
                <w:spacing w:val="-6"/>
                <w:sz w:val="24"/>
                <w:szCs w:val="24"/>
                <w:lang w:eastAsia="ru-RU"/>
              </w:rPr>
              <w:t> </w:t>
            </w:r>
          </w:p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х</w:t>
            </w:r>
          </w:p>
        </w:tc>
      </w:tr>
      <w:tr w:rsidR="0073202B" w:rsidRPr="0073202B" w:rsidTr="0073202B">
        <w:trPr>
          <w:trHeight w:val="22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мачтовой КТП 25-10/0,4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руб./кВт</w:t>
            </w:r>
          </w:p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(в ценах 2001 года, без учёта НДС)</w:t>
            </w:r>
          </w:p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3 652,01</w:t>
            </w:r>
          </w:p>
        </w:tc>
      </w:tr>
      <w:tr w:rsidR="0073202B" w:rsidRPr="0073202B" w:rsidTr="0073202B">
        <w:trPr>
          <w:trHeight w:val="22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мачтовой КТП 40-10/0,4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2 445,02</w:t>
            </w:r>
          </w:p>
        </w:tc>
      </w:tr>
      <w:tr w:rsidR="0073202B" w:rsidRPr="0073202B" w:rsidTr="0073202B">
        <w:trPr>
          <w:trHeight w:val="85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мачтовой КТП 63-10/0,4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1 641,57</w:t>
            </w:r>
          </w:p>
        </w:tc>
      </w:tr>
      <w:tr w:rsidR="0073202B" w:rsidRPr="0073202B" w:rsidTr="0073202B">
        <w:trPr>
          <w:trHeight w:val="22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КТП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100-10/0,4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1 447,99</w:t>
            </w:r>
          </w:p>
        </w:tc>
      </w:tr>
      <w:tr w:rsidR="0073202B" w:rsidRPr="0073202B" w:rsidTr="0073202B">
        <w:trPr>
          <w:trHeight w:val="22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КТП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160-10/0,4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1 026,99</w:t>
            </w:r>
          </w:p>
        </w:tc>
      </w:tr>
      <w:tr w:rsidR="0073202B" w:rsidRPr="0073202B" w:rsidTr="0073202B">
        <w:trPr>
          <w:trHeight w:val="22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КТП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250-10/0,4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771,49</w:t>
            </w:r>
          </w:p>
        </w:tc>
      </w:tr>
      <w:tr w:rsidR="0073202B" w:rsidRPr="0073202B" w:rsidTr="0073202B">
        <w:trPr>
          <w:trHeight w:val="22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КТП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400-10/0,4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623,56</w:t>
            </w:r>
          </w:p>
        </w:tc>
      </w:tr>
      <w:tr w:rsidR="0073202B" w:rsidRPr="0073202B" w:rsidTr="0073202B">
        <w:trPr>
          <w:trHeight w:val="22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КТП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630-10/0,4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526,64</w:t>
            </w:r>
          </w:p>
        </w:tc>
      </w:tr>
      <w:tr w:rsidR="0073202B" w:rsidRPr="0073202B" w:rsidTr="0073202B">
        <w:trPr>
          <w:trHeight w:val="22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КТП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1000-10/0,4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558,96</w:t>
            </w:r>
          </w:p>
        </w:tc>
      </w:tr>
      <w:tr w:rsidR="0073202B" w:rsidRPr="0073202B" w:rsidTr="0073202B">
        <w:trPr>
          <w:trHeight w:val="22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двухтрансформаторной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КТП 250-10/0,4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2 502,12</w:t>
            </w:r>
          </w:p>
        </w:tc>
      </w:tr>
      <w:tr w:rsidR="0073202B" w:rsidRPr="0073202B" w:rsidTr="0073202B">
        <w:trPr>
          <w:trHeight w:val="22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двухтрансформаторной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КТП 400-10/0,4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1 658,21</w:t>
            </w:r>
          </w:p>
        </w:tc>
      </w:tr>
      <w:tr w:rsidR="0073202B" w:rsidRPr="0073202B" w:rsidTr="0073202B">
        <w:trPr>
          <w:trHeight w:val="22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двухтрансформаторной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КТП 630-10/0,4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1 242,39</w:t>
            </w:r>
          </w:p>
        </w:tc>
      </w:tr>
      <w:tr w:rsidR="0073202B" w:rsidRPr="0073202B" w:rsidTr="0073202B">
        <w:trPr>
          <w:trHeight w:val="22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двухтрансформаторной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КТП 1000-10/0,4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906,46</w:t>
            </w:r>
          </w:p>
        </w:tc>
      </w:tr>
    </w:tbl>
    <w:p w:rsidR="0073202B" w:rsidRPr="0073202B" w:rsidRDefault="0073202B" w:rsidP="0073202B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Примечание: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firstLine="540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1. Указанные ставки применяются с учётом индекса изменения сметной стоимости по строительно-монтажным работам для Ульяновской области, данные по которым используются для расчёта, к федеральным единичным расценкам 2001 года, рекомендуемым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деятельности.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firstLine="540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2. При применении стандартизированных тарифных ставок для расчёта платы за технологическое присоединение используются показатели, участвующие в расчёте, согласно выданным техническим условиям.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firstLine="54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________________________________</w:t>
      </w:r>
    </w:p>
    <w:p w:rsidR="0073202B" w:rsidRPr="0073202B" w:rsidRDefault="0073202B" w:rsidP="00732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br/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left="900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73202B" w:rsidRDefault="0073202B" w:rsidP="0073202B">
      <w:pPr>
        <w:shd w:val="clear" w:color="auto" w:fill="FFFFFF"/>
        <w:spacing w:after="0" w:line="171" w:lineRule="atLeast"/>
        <w:ind w:left="900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3202B" w:rsidRDefault="0073202B" w:rsidP="0073202B">
      <w:pPr>
        <w:shd w:val="clear" w:color="auto" w:fill="FFFFFF"/>
        <w:spacing w:after="0" w:line="171" w:lineRule="atLeast"/>
        <w:ind w:left="900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3202B" w:rsidRDefault="0073202B" w:rsidP="0073202B">
      <w:pPr>
        <w:shd w:val="clear" w:color="auto" w:fill="FFFFFF"/>
        <w:spacing w:after="0" w:line="171" w:lineRule="atLeast"/>
        <w:ind w:left="900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3202B" w:rsidRDefault="0073202B" w:rsidP="0073202B">
      <w:pPr>
        <w:shd w:val="clear" w:color="auto" w:fill="FFFFFF"/>
        <w:spacing w:after="0" w:line="171" w:lineRule="atLeast"/>
        <w:ind w:left="900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3202B" w:rsidRDefault="0073202B" w:rsidP="0073202B">
      <w:pPr>
        <w:shd w:val="clear" w:color="auto" w:fill="FFFFFF"/>
        <w:spacing w:after="0" w:line="171" w:lineRule="atLeast"/>
        <w:ind w:left="900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3202B" w:rsidRPr="0073202B" w:rsidRDefault="0073202B" w:rsidP="0073202B">
      <w:pPr>
        <w:shd w:val="clear" w:color="auto" w:fill="FFFFFF"/>
        <w:spacing w:after="0" w:line="171" w:lineRule="atLeast"/>
        <w:ind w:left="900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2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left="900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left="900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 приказу Министерства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left="900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экономического развития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left="900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Ульяновской области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left="900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от 22 декабря 2014 г. № 06-914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firstLine="540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b/>
          <w:bCs/>
          <w:caps/>
          <w:color w:val="000000"/>
          <w:spacing w:val="-6"/>
          <w:sz w:val="24"/>
          <w:szCs w:val="24"/>
          <w:lang w:eastAsia="ru-RU"/>
        </w:rPr>
        <w:t> 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b/>
          <w:bCs/>
          <w:caps/>
          <w:color w:val="000000"/>
          <w:spacing w:val="-6"/>
          <w:sz w:val="24"/>
          <w:szCs w:val="24"/>
          <w:lang w:eastAsia="ru-RU"/>
        </w:rPr>
        <w:t>СТАВКИ </w:t>
      </w:r>
      <w:r w:rsidRPr="0073202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ЗА ЕДИНИЦУ МАКСИМАЛЬНОЙ МОЩНОСТИ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для определения платы за технологическое присоединение энергопринимающих устройств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>потребителей электрической энергии, объектов электросетевого хозяйства,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>принадлежащих сетевым организациям и иным лицам,</w:t>
      </w:r>
      <w:r w:rsidRPr="0073202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 к электрическим сетям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Общества с ограниченной ответственностью «Объединённые электрические сети»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на уровне напряжения ниже 35 </w:t>
      </w:r>
      <w:proofErr w:type="spellStart"/>
      <w:r w:rsidRPr="0073202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кВ</w:t>
      </w:r>
      <w:proofErr w:type="spellEnd"/>
      <w:r w:rsidRPr="0073202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и максимальной мощности менее 8 900 кВт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left="4140"/>
        <w:jc w:val="right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tbl>
      <w:tblPr>
        <w:tblStyle w:val="a4"/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8737"/>
        <w:gridCol w:w="2136"/>
        <w:gridCol w:w="2907"/>
      </w:tblGrid>
      <w:tr w:rsidR="0073202B" w:rsidRPr="0073202B" w:rsidTr="0073202B">
        <w:trPr>
          <w:trHeight w:val="36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Уровень напряжения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ставок за единицу максимальной мощности</w:t>
            </w:r>
          </w:p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руб./кВт</w:t>
            </w:r>
          </w:p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(в текущих ценах, без учёта НДС)</w:t>
            </w:r>
          </w:p>
        </w:tc>
      </w:tr>
      <w:tr w:rsidR="0073202B" w:rsidRPr="0073202B" w:rsidTr="0073202B">
        <w:trPr>
          <w:trHeight w:val="2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</w:t>
            </w:r>
          </w:p>
        </w:tc>
      </w:tr>
      <w:tr w:rsidR="0073202B" w:rsidRPr="0073202B" w:rsidTr="0073202B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1A1818"/>
                <w:spacing w:val="-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93,47</w:t>
            </w:r>
          </w:p>
        </w:tc>
      </w:tr>
      <w:tr w:rsidR="0073202B" w:rsidRPr="0073202B" w:rsidTr="0073202B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сетевой организацией проектной документации по строительству «последней мили»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1A1818"/>
                <w:spacing w:val="-6"/>
                <w:sz w:val="24"/>
                <w:szCs w:val="24"/>
                <w:lang w:eastAsia="ru-RU"/>
              </w:rPr>
              <w:t>х</w:t>
            </w:r>
          </w:p>
        </w:tc>
      </w:tr>
      <w:tr w:rsidR="0073202B" w:rsidRPr="0073202B" w:rsidTr="0073202B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сетевой организацией мероприятий, связанных со строительством «последней мили»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1A1818"/>
                <w:spacing w:val="-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1A1818"/>
                <w:spacing w:val="-6"/>
                <w:sz w:val="24"/>
                <w:szCs w:val="24"/>
                <w:lang w:eastAsia="ru-RU"/>
              </w:rPr>
              <w:t>х</w:t>
            </w:r>
          </w:p>
        </w:tc>
      </w:tr>
      <w:tr w:rsidR="0073202B" w:rsidRPr="0073202B" w:rsidTr="0073202B">
        <w:trPr>
          <w:trHeight w:val="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Строительство воздушных линий электропередачи (ВЛ):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</w:tr>
      <w:tr w:rsidR="0073202B" w:rsidRPr="0073202B" w:rsidTr="0073202B">
        <w:trPr>
          <w:trHeight w:val="15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ВЛИ-0,4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СИП 4-4х35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НН (0,4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кВ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и ниже)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11 811,50</w:t>
            </w:r>
          </w:p>
        </w:tc>
      </w:tr>
      <w:tr w:rsidR="0073202B" w:rsidRPr="0073202B" w:rsidTr="0073202B">
        <w:trPr>
          <w:trHeight w:val="15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ВЛИ-0,4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СИП 4-4х50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13 741,41</w:t>
            </w:r>
          </w:p>
        </w:tc>
      </w:tr>
      <w:tr w:rsidR="0073202B" w:rsidRPr="0073202B" w:rsidTr="0073202B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ВЛИ-0,4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СИП 4-4х70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16 363,64</w:t>
            </w:r>
          </w:p>
        </w:tc>
      </w:tr>
      <w:tr w:rsidR="0073202B" w:rsidRPr="0073202B" w:rsidTr="0073202B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ВЛИ-0,4 </w:t>
            </w:r>
            <w:proofErr w:type="spellStart"/>
            <w:proofErr w:type="gram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 СИП</w:t>
            </w:r>
            <w:proofErr w:type="gram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4-4х95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17 584,99</w:t>
            </w:r>
          </w:p>
        </w:tc>
      </w:tr>
      <w:tr w:rsidR="0073202B" w:rsidRPr="0073202B" w:rsidTr="0073202B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ВЛЗ-10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СИП 3-1x50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СН2 (20-1кВ)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4 853,99</w:t>
            </w:r>
          </w:p>
        </w:tc>
      </w:tr>
      <w:tr w:rsidR="0073202B" w:rsidRPr="0073202B" w:rsidTr="0073202B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ВЛЗ-10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СИП 3-1х70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5 484,96</w:t>
            </w:r>
          </w:p>
        </w:tc>
      </w:tr>
      <w:tr w:rsidR="0073202B" w:rsidRPr="0073202B" w:rsidTr="0073202B">
        <w:trPr>
          <w:trHeight w:val="38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Строительство кабельных линий электропередачи (КЛ):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1A1818"/>
                <w:spacing w:val="-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1A1818"/>
                <w:spacing w:val="-6"/>
                <w:sz w:val="24"/>
                <w:szCs w:val="24"/>
                <w:lang w:eastAsia="ru-RU"/>
              </w:rPr>
              <w:t>х</w:t>
            </w:r>
          </w:p>
        </w:tc>
      </w:tr>
      <w:tr w:rsidR="0073202B" w:rsidRPr="0073202B" w:rsidTr="0073202B">
        <w:trPr>
          <w:trHeight w:val="27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КЛ-0,4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 4x120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НН (0,4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кВ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и ниже)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20 133,30</w:t>
            </w:r>
          </w:p>
        </w:tc>
      </w:tr>
      <w:tr w:rsidR="0073202B" w:rsidRPr="0073202B" w:rsidTr="0073202B">
        <w:trPr>
          <w:trHeight w:val="27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КЛ-0,4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 4x150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23 534,84</w:t>
            </w:r>
          </w:p>
        </w:tc>
      </w:tr>
      <w:tr w:rsidR="0073202B" w:rsidRPr="0073202B" w:rsidTr="0073202B">
        <w:trPr>
          <w:trHeight w:val="27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КЛ-0,4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 4x185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25 151,21</w:t>
            </w:r>
          </w:p>
        </w:tc>
      </w:tr>
      <w:tr w:rsidR="0073202B" w:rsidRPr="0073202B" w:rsidTr="0073202B">
        <w:trPr>
          <w:trHeight w:val="27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КЛ-0,4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 4x240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27 328,79</w:t>
            </w:r>
          </w:p>
        </w:tc>
      </w:tr>
      <w:tr w:rsidR="0073202B" w:rsidRPr="0073202B" w:rsidTr="0073202B">
        <w:trPr>
          <w:trHeight w:val="27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КЛ-10(6)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АСБ-10 3x120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СН2 (20-1кВ)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9 476,89</w:t>
            </w:r>
          </w:p>
        </w:tc>
      </w:tr>
      <w:tr w:rsidR="0073202B" w:rsidRPr="0073202B" w:rsidTr="0073202B">
        <w:trPr>
          <w:trHeight w:val="27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KЛ-10(6)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АСБ-10 3x150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10 712,09</w:t>
            </w:r>
          </w:p>
        </w:tc>
      </w:tr>
      <w:tr w:rsidR="0073202B" w:rsidRPr="0073202B" w:rsidTr="0073202B">
        <w:trPr>
          <w:trHeight w:val="27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КЛ-10(6)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АСБ-10 3x185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12 019,66</w:t>
            </w:r>
          </w:p>
        </w:tc>
      </w:tr>
      <w:tr w:rsidR="0073202B" w:rsidRPr="0073202B" w:rsidTr="0073202B">
        <w:trPr>
          <w:trHeight w:val="27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КЛ-10(6)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АСБ-10 3x240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13 711,79</w:t>
            </w:r>
          </w:p>
        </w:tc>
      </w:tr>
      <w:tr w:rsidR="0073202B" w:rsidRPr="0073202B" w:rsidTr="0073202B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Строительство комплектных трансформаторных подстанций (КТП), распределительных трансформаторных подстанций (РТП) с классом напряжения до 35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х</w:t>
            </w:r>
          </w:p>
        </w:tc>
      </w:tr>
      <w:tr w:rsidR="0073202B" w:rsidRPr="0073202B" w:rsidTr="0073202B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мачтовой КТП 25-10/0,4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 (0,4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ниже)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21 619,88</w:t>
            </w:r>
          </w:p>
        </w:tc>
      </w:tr>
      <w:tr w:rsidR="0073202B" w:rsidRPr="0073202B" w:rsidTr="0073202B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мачтовой КТП 40-10/0,4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14 474,54</w:t>
            </w:r>
          </w:p>
        </w:tc>
      </w:tr>
      <w:tr w:rsidR="0073202B" w:rsidRPr="0073202B" w:rsidTr="0073202B">
        <w:trPr>
          <w:trHeight w:val="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мачтовой КТП 63-10/0,4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9 718,10</w:t>
            </w:r>
          </w:p>
        </w:tc>
      </w:tr>
      <w:tr w:rsidR="0073202B" w:rsidRPr="0073202B" w:rsidTr="0073202B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КТП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100-10/0,4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8 572,12</w:t>
            </w:r>
          </w:p>
        </w:tc>
      </w:tr>
      <w:tr w:rsidR="0073202B" w:rsidRPr="0073202B" w:rsidTr="0073202B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КТП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160-10/0,4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6 079,76</w:t>
            </w:r>
          </w:p>
        </w:tc>
      </w:tr>
      <w:tr w:rsidR="0073202B" w:rsidRPr="0073202B" w:rsidTr="0073202B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КТП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250-10/0,4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4 567,24</w:t>
            </w:r>
          </w:p>
        </w:tc>
      </w:tr>
      <w:tr w:rsidR="0073202B" w:rsidRPr="0073202B" w:rsidTr="0073202B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КТП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400-10/0,4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3 691,45</w:t>
            </w:r>
          </w:p>
        </w:tc>
      </w:tr>
      <w:tr w:rsidR="0073202B" w:rsidRPr="0073202B" w:rsidTr="0073202B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КТП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630-10/0,4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3 117,69</w:t>
            </w:r>
          </w:p>
        </w:tc>
      </w:tr>
      <w:tr w:rsidR="0073202B" w:rsidRPr="0073202B" w:rsidTr="0073202B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КТП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1000-10/0,4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3 309,02</w:t>
            </w:r>
          </w:p>
        </w:tc>
      </w:tr>
      <w:tr w:rsidR="0073202B" w:rsidRPr="0073202B" w:rsidTr="0073202B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2-х трансформаторной КТП 250-10/0,4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14 812,54</w:t>
            </w:r>
          </w:p>
        </w:tc>
      </w:tr>
      <w:tr w:rsidR="0073202B" w:rsidRPr="0073202B" w:rsidTr="0073202B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2-х трансформаторной КТП 400-10/0,4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 (0,4 </w:t>
            </w:r>
            <w:proofErr w:type="spellStart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ниже); СН2 (20-1кВ)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9 816,58</w:t>
            </w:r>
          </w:p>
        </w:tc>
      </w:tr>
      <w:tr w:rsidR="0073202B" w:rsidRPr="0073202B" w:rsidTr="0073202B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2-х трансформаторной КТП 630-10/0,4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7 354,94</w:t>
            </w:r>
          </w:p>
        </w:tc>
      </w:tr>
      <w:tr w:rsidR="0073202B" w:rsidRPr="0073202B" w:rsidTr="0073202B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2-х трансформаторной КТП 1000-10/0,4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5 366,25</w:t>
            </w:r>
          </w:p>
        </w:tc>
      </w:tr>
      <w:tr w:rsidR="0073202B" w:rsidRPr="0073202B" w:rsidTr="0073202B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1A1818"/>
                <w:spacing w:val="-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46,90</w:t>
            </w:r>
          </w:p>
        </w:tc>
      </w:tr>
      <w:tr w:rsidR="0073202B" w:rsidRPr="0073202B" w:rsidTr="0073202B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сетевой организации в осмотре (обследовании) должностным лицом органа федерального государственного энергетического надзора присоединяемых Устройств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1A1818"/>
                <w:spacing w:val="-6"/>
                <w:sz w:val="24"/>
                <w:szCs w:val="24"/>
                <w:lang w:eastAsia="ru-RU"/>
              </w:rPr>
              <w:t>20,24</w:t>
            </w:r>
          </w:p>
        </w:tc>
      </w:tr>
      <w:tr w:rsidR="0073202B" w:rsidRPr="0073202B" w:rsidTr="0073202B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положение «включено»)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02B" w:rsidRPr="0073202B" w:rsidRDefault="0073202B" w:rsidP="0073202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2B" w:rsidRPr="0073202B" w:rsidRDefault="0073202B" w:rsidP="00732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73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20,23</w:t>
            </w:r>
          </w:p>
        </w:tc>
      </w:tr>
    </w:tbl>
    <w:p w:rsidR="0073202B" w:rsidRPr="0073202B" w:rsidRDefault="0073202B" w:rsidP="0073202B">
      <w:pPr>
        <w:shd w:val="clear" w:color="auto" w:fill="FFFFFF"/>
        <w:spacing w:after="0" w:line="171" w:lineRule="atLeast"/>
        <w:ind w:left="4140"/>
        <w:jc w:val="right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Примечание: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Размер платы за технологическое присоединение энергопринимающих устройств определяется с учётом запрашиваемой заявителем категории надёжности электроснабжения в соответствии с Методическими указаниями по определению размера платы за технологическое присоединение к электрическим сетям, утверждёнными приказом ФСТ </w:t>
      </w:r>
      <w:proofErr w:type="gramStart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России  от</w:t>
      </w:r>
      <w:proofErr w:type="gramEnd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11.09.2012 № 209-э/1«Об утверждении Методических указаний по определению размера платы за технологическое присоединение к электрическим сетям».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firstLine="567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___________________________</w:t>
      </w:r>
    </w:p>
    <w:p w:rsidR="0073202B" w:rsidRPr="0073202B" w:rsidRDefault="0073202B" w:rsidP="00732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br/>
      </w:r>
    </w:p>
    <w:p w:rsidR="0073202B" w:rsidRDefault="0073202B" w:rsidP="0073202B">
      <w:pPr>
        <w:shd w:val="clear" w:color="auto" w:fill="FFFFFF"/>
        <w:spacing w:after="0" w:line="171" w:lineRule="atLeast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3202B" w:rsidRDefault="0073202B" w:rsidP="0073202B">
      <w:pPr>
        <w:shd w:val="clear" w:color="auto" w:fill="FFFFFF"/>
        <w:spacing w:after="0" w:line="171" w:lineRule="atLeast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3202B" w:rsidRDefault="0073202B" w:rsidP="0073202B">
      <w:pPr>
        <w:shd w:val="clear" w:color="auto" w:fill="FFFFFF"/>
        <w:spacing w:after="0" w:line="171" w:lineRule="atLeast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3202B" w:rsidRDefault="0073202B" w:rsidP="0073202B">
      <w:pPr>
        <w:shd w:val="clear" w:color="auto" w:fill="FFFFFF"/>
        <w:spacing w:after="0" w:line="171" w:lineRule="atLeast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3202B" w:rsidRDefault="0073202B" w:rsidP="0073202B">
      <w:pPr>
        <w:shd w:val="clear" w:color="auto" w:fill="FFFFFF"/>
        <w:spacing w:after="0" w:line="171" w:lineRule="atLeast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3202B" w:rsidRDefault="0073202B" w:rsidP="0073202B">
      <w:pPr>
        <w:shd w:val="clear" w:color="auto" w:fill="FFFFFF"/>
        <w:spacing w:after="0" w:line="171" w:lineRule="atLeast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3202B" w:rsidRDefault="0073202B" w:rsidP="0073202B">
      <w:pPr>
        <w:shd w:val="clear" w:color="auto" w:fill="FFFFFF"/>
        <w:spacing w:after="0" w:line="171" w:lineRule="atLeast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3202B" w:rsidRDefault="0073202B" w:rsidP="0073202B">
      <w:pPr>
        <w:shd w:val="clear" w:color="auto" w:fill="FFFFFF"/>
        <w:spacing w:after="0" w:line="171" w:lineRule="atLeast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3202B" w:rsidRDefault="0073202B" w:rsidP="0073202B">
      <w:pPr>
        <w:shd w:val="clear" w:color="auto" w:fill="FFFFFF"/>
        <w:spacing w:after="0" w:line="171" w:lineRule="atLeast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3202B" w:rsidRDefault="0073202B" w:rsidP="0073202B">
      <w:pPr>
        <w:shd w:val="clear" w:color="auto" w:fill="FFFFFF"/>
        <w:spacing w:after="0" w:line="171" w:lineRule="atLeast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3202B" w:rsidRDefault="0073202B" w:rsidP="0073202B">
      <w:pPr>
        <w:shd w:val="clear" w:color="auto" w:fill="FFFFFF"/>
        <w:spacing w:after="0" w:line="171" w:lineRule="atLeast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3202B" w:rsidRDefault="0073202B" w:rsidP="0073202B">
      <w:pPr>
        <w:shd w:val="clear" w:color="auto" w:fill="FFFFFF"/>
        <w:spacing w:after="0" w:line="171" w:lineRule="atLeast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3202B" w:rsidRDefault="0073202B" w:rsidP="0073202B">
      <w:pPr>
        <w:shd w:val="clear" w:color="auto" w:fill="FFFFFF"/>
        <w:spacing w:after="0" w:line="171" w:lineRule="atLeast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3202B" w:rsidRDefault="0073202B" w:rsidP="0073202B">
      <w:pPr>
        <w:shd w:val="clear" w:color="auto" w:fill="FFFFFF"/>
        <w:spacing w:after="0" w:line="171" w:lineRule="atLeast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3202B" w:rsidRDefault="0073202B" w:rsidP="0073202B">
      <w:pPr>
        <w:shd w:val="clear" w:color="auto" w:fill="FFFFFF"/>
        <w:spacing w:after="0" w:line="171" w:lineRule="atLeast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3202B" w:rsidRDefault="0073202B" w:rsidP="0073202B">
      <w:pPr>
        <w:shd w:val="clear" w:color="auto" w:fill="FFFFFF"/>
        <w:spacing w:after="0" w:line="171" w:lineRule="atLeast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3202B" w:rsidRDefault="0073202B" w:rsidP="0073202B">
      <w:pPr>
        <w:shd w:val="clear" w:color="auto" w:fill="FFFFFF"/>
        <w:spacing w:after="0" w:line="171" w:lineRule="atLeast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3202B" w:rsidRDefault="0073202B" w:rsidP="0073202B">
      <w:pPr>
        <w:shd w:val="clear" w:color="auto" w:fill="FFFFFF"/>
        <w:spacing w:after="0" w:line="171" w:lineRule="atLeast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3202B" w:rsidRDefault="0073202B" w:rsidP="0073202B">
      <w:pPr>
        <w:shd w:val="clear" w:color="auto" w:fill="FFFFFF"/>
        <w:spacing w:after="0" w:line="171" w:lineRule="atLeast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3202B" w:rsidRDefault="0073202B" w:rsidP="0073202B">
      <w:pPr>
        <w:shd w:val="clear" w:color="auto" w:fill="FFFFFF"/>
        <w:spacing w:after="0" w:line="171" w:lineRule="atLeast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3202B" w:rsidRDefault="0073202B" w:rsidP="0073202B">
      <w:pPr>
        <w:shd w:val="clear" w:color="auto" w:fill="FFFFFF"/>
        <w:spacing w:after="0" w:line="171" w:lineRule="atLeast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3202B" w:rsidRPr="0073202B" w:rsidRDefault="0073202B" w:rsidP="0073202B">
      <w:pPr>
        <w:shd w:val="clear" w:color="auto" w:fill="FFFFFF"/>
        <w:spacing w:after="0" w:line="171" w:lineRule="atLeast"/>
        <w:ind w:left="504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>ПРИЛОЖЕНИЕ № 3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left="504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left="504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 приказу Министерства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left="504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экономического развития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left="504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Ульяновской области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left="504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от 22 декабря 2014 г. № 06-914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left="504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ФОРМУЛЫ</w:t>
      </w:r>
    </w:p>
    <w:p w:rsidR="0073202B" w:rsidRPr="0073202B" w:rsidRDefault="0073202B" w:rsidP="0073202B">
      <w:pPr>
        <w:shd w:val="clear" w:color="auto" w:fill="FFFFFF"/>
        <w:spacing w:after="0" w:line="240" w:lineRule="auto"/>
        <w:ind w:right="96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платы за технологическое присоединение энергопринимающих устройств </w:t>
      </w:r>
      <w:r w:rsidRPr="0073202B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>потребителей электрической энергии, объектов электросетевого хозяйства, принадлежащих сетевым организациям и иным лицам,</w:t>
      </w:r>
      <w:r w:rsidRPr="0073202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 к электрическим сетям Общества с ограниченной ответственностью «Объединённые электрические сети»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firstLine="567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 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1.  Плата за технологическое присоединение Заявителя, при котором отсутствует необходимость реализации мероприятий «последней мили», рассчитывается по формуле: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ТП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= (C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1 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× </w:t>
      </w:r>
      <w:proofErr w:type="spellStart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N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i</w:t>
      </w:r>
      <w:proofErr w:type="spellEnd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), (руб.</w:t>
      </w:r>
      <w:proofErr w:type="gramStart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),   </w:t>
      </w:r>
      <w:proofErr w:type="gramEnd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(1)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где:                                                                                         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proofErr w:type="gramStart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ТП  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–</w:t>
      </w:r>
      <w:proofErr w:type="gramEnd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плата за технологическое присоединение;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C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1 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–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 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стандартизированная тарифная ставка, согласно приложению № 1 к настоящему приказу;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proofErr w:type="spellStart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N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i</w:t>
      </w:r>
      <w:proofErr w:type="spellEnd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 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–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 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объём максимальной мощности, указанный в заявке на технологическое присоединение Заявителем (кВт).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2.  Плата за технологическое присоединение Заявителя, при реализации которого согласно техническим условиям, предусматриваются мероприятия «последней мили» по прокладке воздушных и (</w:t>
      </w:r>
      <w:proofErr w:type="gramStart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или)  кабельных</w:t>
      </w:r>
      <w:proofErr w:type="gramEnd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линий рассчитывается по формуле: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ТП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= (C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1 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× </w:t>
      </w:r>
      <w:proofErr w:type="spellStart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N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i</w:t>
      </w:r>
      <w:proofErr w:type="spellEnd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 + (C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2i и (или) 3i 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× </w:t>
      </w:r>
      <w:proofErr w:type="spellStart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L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i</w:t>
      </w:r>
      <w:proofErr w:type="spellEnd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× </w:t>
      </w:r>
      <w:proofErr w:type="spellStart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Z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изм.ст</w:t>
      </w:r>
      <w:proofErr w:type="spellEnd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), (руб.</w:t>
      </w:r>
      <w:proofErr w:type="gramStart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),   </w:t>
      </w:r>
      <w:proofErr w:type="gramEnd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                                               (2)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где:                                             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ТП 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– плата за технологическое присоединение;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C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 1, 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C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2i или 3i 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– стандартизированные тарифные ставки на соответствующем уровне напряжения, согласно приложению № 1 к настоящему приказу;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proofErr w:type="spellStart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N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i</w:t>
      </w:r>
      <w:proofErr w:type="spellEnd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 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– объём максимальной мощности, указанный в заявке на технологическое присоединение Заявителем (кВт);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proofErr w:type="spellStart"/>
      <w:proofErr w:type="gramStart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Z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изм.ст</w:t>
      </w:r>
      <w:proofErr w:type="spellEnd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 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–</w:t>
      </w:r>
      <w:proofErr w:type="gramEnd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индекс изменения сметной стоимости по строительно-монтажным работам для Ульяновской области на квартал, предшествующий кварталу, в котором рассчитывается плата за технологическое присоединение к федеральным единичным расценкам 2001 года, рекомендуемый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деятельности;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proofErr w:type="spellStart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L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i</w:t>
      </w:r>
      <w:proofErr w:type="spellEnd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 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– суммарная протяжённость воздушных и (или) кабельных линий на i-том уровне напряжения, строительство которых предусмотрено согласно выданных технических условий для технологического присоединения (км).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 xml:space="preserve">3.  Плата за технологическое присоединение Заявителя, при реализации которого согласно техническим условиям, предусматриваются мероприятия «последней мили» по строительству комплектных трансформаторных подстанций (КТП), распределительных трансформаторных подстанций (РТП) с уровнем напряжения до 35 </w:t>
      </w:r>
      <w:proofErr w:type="spellStart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кВ</w:t>
      </w:r>
      <w:proofErr w:type="spellEnd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и на строительство центров питания, подстанций уровнем напряжения 35 </w:t>
      </w:r>
      <w:proofErr w:type="spellStart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кВ</w:t>
      </w:r>
      <w:proofErr w:type="spellEnd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и выше (ПС) рассчитывается по формуле: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ТП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= (C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1 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× </w:t>
      </w:r>
      <w:proofErr w:type="spellStart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N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i</w:t>
      </w:r>
      <w:proofErr w:type="spellEnd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 + (C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4 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× </w:t>
      </w:r>
      <w:proofErr w:type="spellStart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N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i</w:t>
      </w:r>
      <w:proofErr w:type="spellEnd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× </w:t>
      </w:r>
      <w:proofErr w:type="spellStart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Z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изм.ст</w:t>
      </w:r>
      <w:proofErr w:type="spellEnd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), (руб.</w:t>
      </w:r>
      <w:proofErr w:type="gramStart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),   </w:t>
      </w:r>
      <w:proofErr w:type="gramEnd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                                                         (3)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где:                                                                                                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ТП </w:t>
      </w:r>
      <w:r w:rsidRPr="0073202B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– 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плата за технологическое присоединение;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C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 1, 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C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 4 i 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– стандартизированные тарифные ставки, согласно приложению № 1 к настоящему приказу;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proofErr w:type="spellStart"/>
      <w:proofErr w:type="gramStart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N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i</w:t>
      </w:r>
      <w:proofErr w:type="spellEnd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  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–</w:t>
      </w:r>
      <w:proofErr w:type="gramEnd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объём максимальной мощности, указанный в заявке на технологическое присоединение Заявителем (кВт);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proofErr w:type="spellStart"/>
      <w:proofErr w:type="gramStart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Z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изм.ст</w:t>
      </w:r>
      <w:proofErr w:type="spellEnd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  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–</w:t>
      </w:r>
      <w:proofErr w:type="gramEnd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индекс изменения сметной стоимости по строительно-монтажным работам для Ульяновской области на квартал, предшествующий кварталу, в котором рассчитывается плата за технологическое присоединение к федеральным единичным расценкам 2001 года, рекомендуемый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деятельности.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4.  Плата за технологическое присоединение Заявителя, при реализации которого согласно техническим условиям, предусматриваются мероприятия «последней мили» по прокладке воздушных и (</w:t>
      </w:r>
      <w:proofErr w:type="gramStart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или)  кабельных</w:t>
      </w:r>
      <w:proofErr w:type="gramEnd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линий и строительству комплектных трансформаторных подстанций (КТП), распределительных трансформаторных подстанций (РТП) с уровнем напряжения до 35 </w:t>
      </w:r>
      <w:proofErr w:type="spellStart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кВ</w:t>
      </w:r>
      <w:proofErr w:type="spellEnd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и на строительство центров питания, подстанций уровнем напряжения 35 </w:t>
      </w:r>
      <w:proofErr w:type="spellStart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кВ</w:t>
      </w:r>
      <w:proofErr w:type="spellEnd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и выше (ПС) рассчитывается по формуле: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ТП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= (C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1 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× </w:t>
      </w:r>
      <w:proofErr w:type="spellStart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N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i</w:t>
      </w:r>
      <w:proofErr w:type="spellEnd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 + (C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2i или 3i 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× </w:t>
      </w:r>
      <w:proofErr w:type="spellStart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L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i</w:t>
      </w:r>
      <w:proofErr w:type="spellEnd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× </w:t>
      </w:r>
      <w:proofErr w:type="spellStart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Z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изм.ст</w:t>
      </w:r>
      <w:proofErr w:type="spellEnd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 + (C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4i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× </w:t>
      </w:r>
      <w:proofErr w:type="spellStart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N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i</w:t>
      </w:r>
      <w:proofErr w:type="spellEnd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× </w:t>
      </w:r>
      <w:proofErr w:type="spellStart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Z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изм.ст</w:t>
      </w:r>
      <w:proofErr w:type="spellEnd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), (руб.</w:t>
      </w:r>
      <w:proofErr w:type="gramStart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),   </w:t>
      </w:r>
      <w:proofErr w:type="gramEnd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                (4)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где:                                            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ТП 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– плата за технологическое присоединение;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C</w:t>
      </w:r>
      <w:proofErr w:type="gramStart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1 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,</w:t>
      </w:r>
      <w:proofErr w:type="gramEnd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C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2i 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, C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3i 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, C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4i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– стандартизированные тарифные ставки, согласно приложению № 2 к настоящему приказу;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proofErr w:type="spellStart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L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i</w:t>
      </w:r>
      <w:proofErr w:type="spellEnd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– суммарная протяжённость воздушных и (или) кабельных линий на i-том классе напряжения, строительство которых предусмотрено согласно выданных технических условий для технологического присоединения (км);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proofErr w:type="spellStart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N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i</w:t>
      </w:r>
      <w:proofErr w:type="spellEnd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– объём максимальной мощности, указанный в заявке на технологическое присоединение Заявителем (кВт);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proofErr w:type="spellStart"/>
      <w:proofErr w:type="gramStart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Z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изм.ст</w:t>
      </w:r>
      <w:proofErr w:type="spellEnd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 </w:t>
      </w: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–</w:t>
      </w:r>
      <w:proofErr w:type="gramEnd"/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индекс изменения сметной стоимости по строительно-монтажным работам для Ульяновской области на квартал, предшествующий кварталу, в котором рассчитывается плата за технологическое присоединение к федеральным единичным расценкам 2001 года, рекомендуемый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деятельности.</w:t>
      </w:r>
    </w:p>
    <w:p w:rsidR="0073202B" w:rsidRPr="0073202B" w:rsidRDefault="0073202B" w:rsidP="0073202B">
      <w:pPr>
        <w:shd w:val="clear" w:color="auto" w:fill="FFFFFF"/>
        <w:spacing w:after="0" w:line="171" w:lineRule="atLeast"/>
        <w:ind w:firstLine="567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7320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_____________________________</w:t>
      </w:r>
    </w:p>
    <w:p w:rsidR="007350CD" w:rsidRPr="0073202B" w:rsidRDefault="007350CD">
      <w:pPr>
        <w:rPr>
          <w:sz w:val="24"/>
          <w:szCs w:val="24"/>
        </w:rPr>
      </w:pPr>
    </w:p>
    <w:sectPr w:rsidR="007350CD" w:rsidRPr="0073202B" w:rsidSect="007320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F1"/>
    <w:rsid w:val="006014F1"/>
    <w:rsid w:val="0073202B"/>
    <w:rsid w:val="007350CD"/>
    <w:rsid w:val="00F7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14082-B657-403E-A11B-2F0439D4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</w:latentStyles>
  <w:style w:type="paragraph" w:default="1" w:styleId="a">
    <w:name w:val="Normal"/>
    <w:qFormat/>
  </w:style>
  <w:style w:type="character" w:default="1" w:styleId="a0">
    <w:name w:val=""/>
    <w:uiPriority w:val="1"/>
    <w:semiHidden/>
    <w:unhideWhenUsed/>
  </w:style>
  <w:style w:type="table" w:default="1" w:styleId="a1">
    <w:name w:val="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"/>
    <w:uiPriority w:val="99"/>
    <w:semiHidden/>
    <w:unhideWhenUsed/>
  </w:style>
  <w:style w:type="character" w:customStyle="1" w:styleId="a3">
    <w:uiPriority w:val="1"/>
    <w:semiHidden/>
    <w:unhideWhenUsed/>
  </w:style>
  <w:style w:type="table" w:customStyle="1" w:styleId="a4"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5">
    <w:uiPriority w:val="99"/>
    <w:semiHidden/>
    <w:unhideWhenUsed/>
  </w:style>
  <w:style w:type="character" w:customStyle="1" w:styleId="DefaultParagraphFont">
    <w:name w:val="Default Paragraph Font"/>
    <w:uiPriority w:val="1"/>
    <w:semiHidden/>
    <w:unhideWhenUsed/>
  </w:style>
  <w:style w:type="table" w:customStyle="1" w:styleId="NormalTab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">
    <w:name w:val="No List"/>
    <w:uiPriority w:val="99"/>
    <w:semiHidden/>
    <w:unhideWhenUsed/>
  </w:style>
  <w:style w:type="paragraph" w:customStyle="1" w:styleId="a6">
    <w:basedOn w:val="a"/>
    <w:uiPriority w:val="99"/>
    <w:unhideWhenUsed/>
    <w:rsid w:val="0073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basedOn w:val="a3"/>
    <w:uiPriority w:val="22"/>
    <w:qFormat/>
    <w:rsid w:val="0073202B"/>
    <w:rPr>
      <w:b/>
      <w:bCs/>
    </w:rPr>
  </w:style>
  <w:style w:type="character" w:customStyle="1" w:styleId="apple-converted-space">
    <w:name w:val="apple-converted-space"/>
    <w:basedOn w:val="a3"/>
    <w:rsid w:val="0073202B"/>
  </w:style>
  <w:style w:type="character" w:customStyle="1" w:styleId="a8">
    <w:basedOn w:val="a3"/>
    <w:uiPriority w:val="99"/>
    <w:unhideWhenUsed/>
    <w:rsid w:val="00732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3222</Words>
  <Characters>18368</Characters>
  <Application>Microsoft Office Word</Application>
  <DocSecurity>0</DocSecurity>
  <Lines>153</Lines>
  <Paragraphs>43</Paragraphs>
  <ScaleCrop>false</ScaleCrop>
  <Company/>
  <LinksUpToDate>false</LinksUpToDate>
  <CharactersWithSpaces>21547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2015-10-21T04:42:00Z</dcterms:created>
  <dcterms:modified xsi:type="dcterms:W3CDTF">2015-10-21T04:55:00Z</dcterms:modified>
</cp:coreProperties>
</file>